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rFonts w:ascii="Cambria" w:cs="Cambria" w:eastAsia="Cambria" w:hAnsi="Cambria"/>
          <w:b w:val="1"/>
          <w:color w:val="ffffff"/>
          <w:sz w:val="24"/>
          <w:szCs w:val="24"/>
          <w:shd w:fill="365f91" w:val="clear"/>
        </w:rPr>
      </w:pPr>
      <w:bookmarkStart w:colFirst="0" w:colLast="0" w:name="_swzkcnplrbjk" w:id="0"/>
      <w:bookmarkEnd w:id="0"/>
      <w:r w:rsidDel="00000000" w:rsidR="00000000" w:rsidRPr="00000000">
        <w:rPr>
          <w:rFonts w:ascii="Cambria" w:cs="Cambria" w:eastAsia="Cambria" w:hAnsi="Cambria"/>
          <w:b w:val="1"/>
          <w:color w:val="ffffff"/>
          <w:sz w:val="24"/>
          <w:szCs w:val="24"/>
          <w:shd w:fill="365f91" w:val="clear"/>
          <w:rtl w:val="0"/>
        </w:rPr>
        <w:t xml:space="preserve">Committee Members:</w:t>
      </w:r>
    </w:p>
    <w:p w:rsidR="00000000" w:rsidDel="00000000" w:rsidP="00000000" w:rsidRDefault="00000000" w:rsidRPr="00000000" w14:paraId="00000002">
      <w:pPr>
        <w:spacing w:line="240" w:lineRule="auto"/>
        <w:rPr>
          <w:rFonts w:ascii="Cambria" w:cs="Cambria" w:eastAsia="Cambria" w:hAnsi="Cambri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ind w:left="720" w:hanging="360"/>
              <w:rPr>
                <w:rFonts w:ascii="Cambria" w:cs="Cambria" w:eastAsia="Cambria" w:hAnsi="Cambria"/>
                <w:b w:val="1"/>
                <w:color w:val="741b47"/>
              </w:rPr>
            </w:pPr>
            <w:r w:rsidDel="00000000" w:rsidR="00000000" w:rsidRPr="00000000">
              <w:rPr>
                <w:rFonts w:ascii="Cambria" w:cs="Cambria" w:eastAsia="Cambria" w:hAnsi="Cambria"/>
                <w:b w:val="1"/>
                <w:color w:val="741b47"/>
                <w:rtl w:val="0"/>
              </w:rPr>
              <w:t xml:space="preserve">Faculty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Alexa Clements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Fernando Calderón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Matt Andreini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Kenneth Elgersma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Tim Dooley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3"/>
              </w:numPr>
              <w:ind w:left="720" w:hanging="360"/>
              <w:rPr>
                <w:rFonts w:ascii="Cambria" w:cs="Cambria" w:eastAsia="Cambria" w:hAnsi="Cambria"/>
              </w:rPr>
            </w:pPr>
            <w:r w:rsidDel="00000000" w:rsidR="00000000" w:rsidRPr="00000000">
              <w:rPr>
                <w:rFonts w:ascii="Cambria" w:cs="Cambria" w:eastAsia="Cambria" w:hAnsi="Cambria"/>
                <w:rtl w:val="0"/>
              </w:rPr>
              <w:t xml:space="preserve">Christopher Martin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C">
            <w:pPr>
              <w:ind w:left="720" w:hanging="360"/>
              <w:rPr>
                <w:rFonts w:ascii="Cambria" w:cs="Cambria" w:eastAsia="Cambria" w:hAnsi="Cambria"/>
                <w:b w:val="1"/>
                <w:color w:val="741b47"/>
              </w:rPr>
            </w:pPr>
            <w:r w:rsidDel="00000000" w:rsidR="00000000" w:rsidRPr="00000000">
              <w:rPr>
                <w:rFonts w:ascii="Cambria" w:cs="Cambria" w:eastAsia="Cambria" w:hAnsi="Cambria"/>
                <w:b w:val="1"/>
                <w:color w:val="741b47"/>
                <w:rtl w:val="0"/>
              </w:rPr>
              <w:t xml:space="preserve">Administration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Bill Henninger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Jim O’Loughlin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Atul Mitra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Soh Meachum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Amy Nielsen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numPr>
                <w:ilvl w:val="0"/>
                <w:numId w:val="4"/>
              </w:numPr>
              <w:ind w:left="720" w:hanging="360"/>
              <w:rPr>
                <w:rFonts w:ascii="Cambria" w:cs="Cambria" w:eastAsia="Cambria" w:hAnsi="Cambria"/>
              </w:rPr>
            </w:pPr>
            <w:r w:rsidDel="00000000" w:rsidR="00000000" w:rsidRPr="00000000">
              <w:rPr>
                <w:rFonts w:ascii="Cambria" w:cs="Cambria" w:eastAsia="Cambria" w:hAnsi="Cambria"/>
                <w:rtl w:val="0"/>
              </w:rPr>
              <w:t xml:space="preserve">Theresa Westbrock</w:t>
            </w:r>
          </w:p>
        </w:tc>
      </w:tr>
    </w:tbl>
    <w:p w:rsidR="00000000" w:rsidDel="00000000" w:rsidP="00000000" w:rsidRDefault="00000000" w:rsidRPr="00000000" w14:paraId="00000015">
      <w:pPr>
        <w:ind w:firstLine="720"/>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pStyle w:val="Heading1"/>
        <w:spacing w:after="0" w:before="0" w:line="240" w:lineRule="auto"/>
        <w:rPr>
          <w:rFonts w:ascii="Cambria" w:cs="Cambria" w:eastAsia="Cambria" w:hAnsi="Cambria"/>
          <w:b w:val="1"/>
          <w:sz w:val="24"/>
          <w:szCs w:val="24"/>
        </w:rPr>
      </w:pPr>
      <w:bookmarkStart w:colFirst="0" w:colLast="0" w:name="_7qd0v363quhf" w:id="1"/>
      <w:bookmarkEnd w:id="1"/>
      <w:r w:rsidDel="00000000" w:rsidR="00000000" w:rsidRPr="00000000">
        <w:rPr>
          <w:rFonts w:ascii="Cambria" w:cs="Cambria" w:eastAsia="Cambria" w:hAnsi="Cambria"/>
          <w:b w:val="1"/>
          <w:sz w:val="24"/>
          <w:szCs w:val="24"/>
          <w:rtl w:val="0"/>
        </w:rPr>
        <w:t xml:space="preserve">Action Items:</w:t>
      </w:r>
    </w:p>
    <w:p w:rsidR="00000000" w:rsidDel="00000000" w:rsidP="00000000" w:rsidRDefault="00000000" w:rsidRPr="00000000" w14:paraId="00000018">
      <w:pPr>
        <w:pStyle w:val="Heading1"/>
        <w:numPr>
          <w:ilvl w:val="0"/>
          <w:numId w:val="1"/>
        </w:numPr>
        <w:spacing w:after="200" w:before="0" w:lineRule="auto"/>
        <w:ind w:left="720" w:hanging="360"/>
        <w:jc w:val="both"/>
        <w:rPr>
          <w:sz w:val="22"/>
          <w:szCs w:val="22"/>
          <w:u w:val="none"/>
        </w:rPr>
      </w:pPr>
      <w:bookmarkStart w:colFirst="0" w:colLast="0" w:name="_1x0pz43eyffj" w:id="2"/>
      <w:bookmarkEnd w:id="2"/>
      <w:r w:rsidDel="00000000" w:rsidR="00000000" w:rsidRPr="00000000">
        <w:rPr>
          <w:sz w:val="22"/>
          <w:szCs w:val="22"/>
          <w:rtl w:val="0"/>
        </w:rPr>
        <w:t xml:space="preserve">Approval of the </w:t>
      </w:r>
      <w:r w:rsidDel="00000000" w:rsidR="00000000" w:rsidRPr="00000000">
        <w:rPr>
          <w:sz w:val="22"/>
          <w:szCs w:val="22"/>
          <w:rtl w:val="0"/>
        </w:rPr>
        <w:t xml:space="preserve">minutes</w:t>
      </w:r>
      <w:r w:rsidDel="00000000" w:rsidR="00000000" w:rsidRPr="00000000">
        <w:rPr>
          <w:sz w:val="22"/>
          <w:szCs w:val="22"/>
          <w:rtl w:val="0"/>
        </w:rPr>
        <w:t xml:space="preserve"> from 10.10.25</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Vote to reconcile Subdivision 3.13m</w:t>
      </w:r>
    </w:p>
    <w:p w:rsidR="00000000" w:rsidDel="00000000" w:rsidP="00000000" w:rsidRDefault="00000000" w:rsidRPr="00000000" w14:paraId="0000001B">
      <w:pPr>
        <w:rPr>
          <w:b w:val="1"/>
          <w:u w:val="single"/>
        </w:rPr>
      </w:pPr>
      <w:r w:rsidDel="00000000" w:rsidR="00000000" w:rsidRPr="00000000">
        <w:rPr>
          <w:b w:val="1"/>
          <w:u w:val="single"/>
          <w:rtl w:val="0"/>
        </w:rPr>
        <w:t xml:space="preserve">Subdivision 3.13m Awarding of Annual Merit</w:t>
      </w:r>
    </w:p>
    <w:p w:rsidR="00000000" w:rsidDel="00000000" w:rsidP="00000000" w:rsidRDefault="00000000" w:rsidRPr="00000000" w14:paraId="0000001C">
      <w:pPr>
        <w:rPr/>
      </w:pPr>
      <w:r w:rsidDel="00000000" w:rsidR="00000000" w:rsidRPr="00000000">
        <w:rPr>
          <w:rtl w:val="0"/>
        </w:rPr>
        <w:t xml:space="preserve">First, promotion raises (See Section 9.2) shall be dispersed from the merit and promotions pool (see the Collective Bargaining Agreement) to individual faculty members. </w:t>
      </w:r>
      <w:r w:rsidDel="00000000" w:rsidR="00000000" w:rsidRPr="00000000">
        <w:rPr>
          <w:highlight w:val="yellow"/>
          <w:rtl w:val="0"/>
        </w:rPr>
        <w:t xml:space="preserve">Second, the remaining merit pool shall be allocated to each college according to the number of merit-eligible faculty FTE (not a percentage of salary) within the college.</w:t>
      </w:r>
      <w:r w:rsidDel="00000000" w:rsidR="00000000" w:rsidRPr="00000000">
        <w:rPr>
          <w:rtl w:val="0"/>
        </w:rPr>
        <w:t xml:space="preserve"> Third, department heads assign individual faculty member merit ratings in their Annual Review evaluation, based on the Departmental Standards and Criteria Document. Finally, merit awards are dispersed to individual faculty members within the college according to the individual faculty member’s Merit Score. There shall be no deviation from the utilization of the university merit formula in each college.</w:t>
      </w:r>
    </w:p>
    <w:p w:rsidR="00000000" w:rsidDel="00000000" w:rsidP="00000000" w:rsidRDefault="00000000" w:rsidRPr="00000000" w14:paraId="0000001D">
      <w:pPr>
        <w:rPr/>
      </w:pPr>
      <w:r w:rsidDel="00000000" w:rsidR="00000000" w:rsidRPr="00000000">
        <w:rPr>
          <w:rtl w:val="0"/>
        </w:rPr>
        <w:t xml:space="preserve">Merit pay is added to the faculty member’s base pay. A letter with the following year’s salary, designating the increase to base pay and merit award amount (if applicable), shall be distributed to faculty by Human Resource Services.</w:t>
      </w:r>
    </w:p>
    <w:p w:rsidR="00000000" w:rsidDel="00000000" w:rsidP="00000000" w:rsidRDefault="00000000" w:rsidRPr="00000000" w14:paraId="0000001E">
      <w:pPr>
        <w:rPr>
          <w:b w:val="1"/>
          <w:u w:val="single"/>
        </w:rPr>
      </w:pPr>
      <w:r w:rsidDel="00000000" w:rsidR="00000000" w:rsidRPr="00000000">
        <w:rPr>
          <w:b w:val="1"/>
          <w:u w:val="single"/>
          <w:rtl w:val="0"/>
        </w:rPr>
        <w:t xml:space="preserve">Paragraph 3.13m.1 Eligibility for Merit</w:t>
      </w:r>
    </w:p>
    <w:p w:rsidR="00000000" w:rsidDel="00000000" w:rsidP="00000000" w:rsidRDefault="00000000" w:rsidRPr="00000000" w14:paraId="0000001F">
      <w:pPr>
        <w:rPr/>
      </w:pPr>
      <w:r w:rsidDel="00000000" w:rsidR="00000000" w:rsidRPr="00000000">
        <w:rPr>
          <w:rtl w:val="0"/>
        </w:rPr>
        <w:t xml:space="preserve">When not specified in the Collective Bargaining Agreement, all tenured, probationary, renewable term, and term (1-4) faculty are eligible for merit pay.</w:t>
      </w:r>
    </w:p>
    <w:p w:rsidR="00000000" w:rsidDel="00000000" w:rsidP="00000000" w:rsidRDefault="00000000" w:rsidRPr="00000000" w14:paraId="00000020">
      <w:pPr>
        <w:rPr>
          <w:b w:val="1"/>
          <w:u w:val="single"/>
        </w:rPr>
      </w:pPr>
      <w:r w:rsidDel="00000000" w:rsidR="00000000" w:rsidRPr="00000000">
        <w:rPr>
          <w:b w:val="1"/>
          <w:u w:val="single"/>
          <w:rtl w:val="0"/>
        </w:rPr>
        <w:t xml:space="preserve">Paragraph 3.13m.2 Merit Formula</w:t>
      </w:r>
    </w:p>
    <w:p w:rsidR="00000000" w:rsidDel="00000000" w:rsidP="00000000" w:rsidRDefault="00000000" w:rsidRPr="00000000" w14:paraId="00000021">
      <w:pPr>
        <w:rPr/>
      </w:pPr>
      <w:r w:rsidDel="00000000" w:rsidR="00000000" w:rsidRPr="00000000">
        <w:rPr>
          <w:rtl w:val="0"/>
        </w:rPr>
        <w:t xml:space="preserve">The department head shall calculate a total merit score for each faculty member based on their portfolio and performance as measured by the Departmental Standards and Criteria Document. Department heads shall assign full points up to a maximum of 4 points for each area of performance (teaching, scholarship, service). Then, they multiply each designation by the percentage for that area (teaching, scholarship, service) of the faculty member’s official portfolio assignment (standard, extended teaching, or approved modified portfolio) as designated in this handbook. The department head will add the score for each area to determine the faculty member’s Merit Score.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Merit Calculation Summary:</w:t>
      </w:r>
    </w:p>
    <w:p w:rsidR="00000000" w:rsidDel="00000000" w:rsidP="00000000" w:rsidRDefault="00000000" w:rsidRPr="00000000" w14:paraId="00000024">
      <w:pPr>
        <w:rPr/>
      </w:pPr>
      <w:r w:rsidDel="00000000" w:rsidR="00000000" w:rsidRPr="00000000">
        <w:rPr>
          <w:rtl w:val="0"/>
        </w:rPr>
        <w:t xml:space="preserve">“Exceeds Expectations” = 4 the percentage</w:t>
      </w:r>
    </w:p>
    <w:p w:rsidR="00000000" w:rsidDel="00000000" w:rsidP="00000000" w:rsidRDefault="00000000" w:rsidRPr="00000000" w14:paraId="00000025">
      <w:pPr>
        <w:rPr/>
      </w:pPr>
      <w:r w:rsidDel="00000000" w:rsidR="00000000" w:rsidRPr="00000000">
        <w:rPr>
          <w:rtl w:val="0"/>
        </w:rPr>
        <w:t xml:space="preserve">“Meets Expectations” = 1, 2, or 3 x for each area</w:t>
      </w:r>
    </w:p>
    <w:p w:rsidR="00000000" w:rsidDel="00000000" w:rsidP="00000000" w:rsidRDefault="00000000" w:rsidRPr="00000000" w14:paraId="00000026">
      <w:pPr>
        <w:rPr/>
      </w:pPr>
      <w:r w:rsidDel="00000000" w:rsidR="00000000" w:rsidRPr="00000000">
        <w:rPr>
          <w:rtl w:val="0"/>
        </w:rPr>
        <w:t xml:space="preserve">“Needs Improvement” = 0 of official portfolio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Faculty member’s Merit Score = (Teaching rating x teaching portfolio percentage) + (Scholarship rating x Scholarship portfolio percentage) + (Service rating x Service portfolio percentage)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Only faculty who receive a 1 or above in each area will receive merit pay in a given year. (Faculty members who receive a 0 in any area will receive an overall 0 for their Faculty Member Merit Score and are therefore ineligible for merit.) The total amount allocated for merit pay is divided by the total number of points for all faculty (ranging from 0 to 4 for each faculty member) within each college. </w:t>
      </w:r>
      <w:r w:rsidDel="00000000" w:rsidR="00000000" w:rsidRPr="00000000">
        <w:rPr>
          <w:strike w:val="1"/>
          <w:highlight w:val="yellow"/>
          <w:rtl w:val="0"/>
        </w:rPr>
        <w:t xml:space="preserve">For the calculation of the merit pool of available funds, those who will receive no merit (a “0” merit score) are excluded from the total number of faculty in each college merit pool for that year. </w:t>
      </w:r>
      <w:r w:rsidDel="00000000" w:rsidR="00000000" w:rsidRPr="00000000">
        <w:rPr>
          <w:rtl w:val="0"/>
        </w:rPr>
        <w:t xml:space="preserve">The quotient is how much each point is worth. For each faculty merit award, multiply each point worth times number of points awarded.</w:t>
      </w:r>
    </w:p>
    <w:p w:rsidR="00000000" w:rsidDel="00000000" w:rsidP="00000000" w:rsidRDefault="00000000" w:rsidRPr="00000000" w14:paraId="0000002B">
      <w:pPr>
        <w:rPr/>
      </w:pPr>
      <w:r w:rsidDel="00000000" w:rsidR="00000000" w:rsidRPr="00000000">
        <w:rPr>
          <w:rtl w:val="0"/>
        </w:rPr>
        <w:t xml:space="preserve">The total merit funds disbursed cannot exceed the amount allotted for merit in a given year.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Discussion: </w:t>
      </w:r>
    </w:p>
    <w:p w:rsidR="00000000" w:rsidDel="00000000" w:rsidP="00000000" w:rsidRDefault="00000000" w:rsidRPr="00000000" w14:paraId="0000002E">
      <w:pPr>
        <w:rPr/>
      </w:pPr>
      <w:r w:rsidDel="00000000" w:rsidR="00000000" w:rsidRPr="00000000">
        <w:rPr>
          <w:rtl w:val="0"/>
        </w:rPr>
        <w:t xml:space="preserve">Should the merit formula be revisited? </w:t>
      </w:r>
    </w:p>
    <w:p w:rsidR="00000000" w:rsidDel="00000000" w:rsidP="00000000" w:rsidRDefault="00000000" w:rsidRPr="00000000" w14:paraId="0000002F">
      <w:pPr>
        <w:rPr/>
      </w:pPr>
      <w:r w:rsidDel="00000000" w:rsidR="00000000" w:rsidRPr="00000000">
        <w:rPr>
          <w:rtl w:val="0"/>
        </w:rPr>
        <w:t xml:space="preserve">What purpose does the merit formula 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Old Business</w:t>
      </w:r>
    </w:p>
    <w:p w:rsidR="00000000" w:rsidDel="00000000" w:rsidP="00000000" w:rsidRDefault="00000000" w:rsidRPr="00000000" w14:paraId="00000032">
      <w:pPr>
        <w:numPr>
          <w:ilvl w:val="0"/>
          <w:numId w:val="5"/>
        </w:numPr>
        <w:ind w:left="720" w:hanging="360"/>
      </w:pPr>
      <w:r w:rsidDel="00000000" w:rsidR="00000000" w:rsidRPr="00000000">
        <w:rPr>
          <w:rtl w:val="0"/>
        </w:rPr>
        <w:t xml:space="preserve">Review and discuss draft Section 3.0-3.4</w:t>
      </w:r>
    </w:p>
    <w:p w:rsidR="00000000" w:rsidDel="00000000" w:rsidP="00000000" w:rsidRDefault="00000000" w:rsidRPr="00000000" w14:paraId="00000033">
      <w:pPr>
        <w:numPr>
          <w:ilvl w:val="1"/>
          <w:numId w:val="5"/>
        </w:numPr>
        <w:ind w:left="1440" w:hanging="360"/>
        <w:rPr>
          <w:u w:val="none"/>
        </w:rPr>
      </w:pPr>
      <w:r w:rsidDel="00000000" w:rsidR="00000000" w:rsidRPr="00000000">
        <w:rPr>
          <w:rtl w:val="0"/>
        </w:rPr>
        <w:t xml:space="preserve">Is there an interest in separating policy from procedure?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5"/>
        </w:numPr>
        <w:ind w:left="720" w:hanging="360"/>
      </w:pPr>
      <w:r w:rsidDel="00000000" w:rsidR="00000000" w:rsidRPr="00000000">
        <w:rPr>
          <w:rtl w:val="0"/>
        </w:rPr>
        <w:t xml:space="preserve">Review and discuss </w:t>
      </w:r>
      <w:r w:rsidDel="00000000" w:rsidR="00000000" w:rsidRPr="00000000">
        <w:rPr>
          <w:rtl w:val="0"/>
        </w:rPr>
        <w:t xml:space="preserve">SharePoint file folder structures</w:t>
      </w:r>
      <w:r w:rsidDel="00000000" w:rsidR="00000000" w:rsidRPr="00000000">
        <w:rPr>
          <w:rtl w:val="0"/>
        </w:rPr>
        <w:t xml:space="preserve"> </w:t>
      </w:r>
    </w:p>
    <w:p w:rsidR="00000000" w:rsidDel="00000000" w:rsidP="00000000" w:rsidRDefault="00000000" w:rsidRPr="00000000" w14:paraId="00000036">
      <w:pPr>
        <w:numPr>
          <w:ilvl w:val="1"/>
          <w:numId w:val="5"/>
        </w:numPr>
        <w:ind w:left="1440" w:hanging="360"/>
        <w:rPr>
          <w:u w:val="none"/>
        </w:rPr>
      </w:pPr>
      <w:r w:rsidDel="00000000" w:rsidR="00000000" w:rsidRPr="00000000">
        <w:rPr>
          <w:rtl w:val="0"/>
        </w:rPr>
        <w:t xml:space="preserve">Discussion: What is the role of AI in the evaluation process and uploading materials?</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numPr>
          <w:ilvl w:val="0"/>
          <w:numId w:val="5"/>
        </w:numPr>
        <w:ind w:left="720" w:hanging="360"/>
        <w:rPr>
          <w:u w:val="none"/>
        </w:rPr>
      </w:pPr>
      <w:r w:rsidDel="00000000" w:rsidR="00000000" w:rsidRPr="00000000">
        <w:rPr>
          <w:rtl w:val="0"/>
        </w:rPr>
        <w:t xml:space="preserve">Updates on Syllabus Posting Committee</w:t>
      </w:r>
    </w:p>
    <w:p w:rsidR="00000000" w:rsidDel="00000000" w:rsidP="00000000" w:rsidRDefault="00000000" w:rsidRPr="00000000" w14:paraId="00000039">
      <w:pPr>
        <w:numPr>
          <w:ilvl w:val="1"/>
          <w:numId w:val="5"/>
        </w:numPr>
        <w:ind w:left="1440" w:hanging="360"/>
        <w:rPr>
          <w:u w:val="none"/>
        </w:rPr>
      </w:pPr>
      <w:r w:rsidDel="00000000" w:rsidR="00000000" w:rsidRPr="00000000">
        <w:rPr>
          <w:rtl w:val="0"/>
        </w:rPr>
        <w:t xml:space="preserve">Discussion: Need to revise pertinent sections of FHB once syllabus posting process is finalized.</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u w:val="single"/>
        </w:rPr>
      </w:pPr>
      <w:r w:rsidDel="00000000" w:rsidR="00000000" w:rsidRPr="00000000">
        <w:rPr>
          <w:b w:val="1"/>
          <w:u w:val="single"/>
          <w:rtl w:val="0"/>
        </w:rPr>
        <w:t xml:space="preserve">New Business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Chapter 8 Revision</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