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Faculty Handbook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Maucker Union Presidential Conference Room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76" w:lineRule="auto"/>
        <w:rPr/>
      </w:pPr>
      <w:bookmarkStart w:colFirst="0" w:colLast="0" w:name="_swzkcnplrbjk" w:id="0"/>
      <w:bookmarkEnd w:id="0"/>
      <w:r w:rsidDel="00000000" w:rsidR="00000000" w:rsidRPr="00000000">
        <w:rPr>
          <w:rtl w:val="0"/>
        </w:rPr>
        <w:t xml:space="preserve">Committee Members: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left="720" w:hanging="360"/>
              <w:rPr>
                <w:b w:val="1"/>
                <w:bCs w:val="1"/>
                <w:color w:val="741b47"/>
              </w:rPr>
            </w:pPr>
            <w:r w:rsidDel="00000000" w:rsidR="00000000" w:rsidRPr="00000000">
              <w:rPr>
                <w:b w:val="1"/>
                <w:bCs w:val="1"/>
                <w:color w:val="741b47"/>
                <w:rtl w:val="0"/>
              </w:rPr>
              <w:t xml:space="preserve">Faculty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Alexa Clements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Fernando Calderón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Matt Andreini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Kenneth Elgersma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Tim Dooley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Christopher Martin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ind w:left="720" w:hanging="360"/>
              <w:rPr>
                <w:b w:val="1"/>
                <w:bCs w:val="1"/>
                <w:color w:val="741b47"/>
              </w:rPr>
            </w:pPr>
            <w:r w:rsidDel="00000000" w:rsidR="00000000" w:rsidRPr="00000000">
              <w:rPr>
                <w:b w:val="1"/>
                <w:bCs w:val="1"/>
                <w:color w:val="741b47"/>
                <w:rtl w:val="0"/>
              </w:rPr>
              <w:t xml:space="preserve">Administration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Bill Henninger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Jim O’Loughlin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Atul Mitra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Soh Meachum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Amy Nielsen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Theresa Westbrock</w:t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3"/>
        </w:numPr>
        <w:spacing w:line="276" w:lineRule="auto"/>
        <w:ind w:left="720" w:hanging="360"/>
        <w:jc w:val="both"/>
        <w:rPr>
          <w:rFonts w:ascii="Arial" w:cs="Arial" w:eastAsia="Arial" w:hAnsi="Arial"/>
          <w:b w:val="0"/>
          <w:bCs w:val="0"/>
          <w:color w:val="000000"/>
        </w:rPr>
      </w:pPr>
      <w:bookmarkStart w:colFirst="0" w:colLast="0" w:name="_1x0pz43eyffj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shd w:fill="auto" w:val="clear"/>
          <w:rtl w:val="0"/>
        </w:rPr>
        <w:t xml:space="preserve">Approval of the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shd w:fill="auto" w:val="clear"/>
          <w:rtl w:val="0"/>
        </w:rPr>
        <w:t xml:space="preserve">minutes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shd w:fill="auto" w:val="clear"/>
          <w:rtl w:val="0"/>
        </w:rPr>
        <w:t xml:space="preserve"> from 11.03.25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Chapter 3 Updates &amp; Request for Feedback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SharePoint Updates 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line="276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 is working on developing three “mock-up” demos of how SharePoint folders might be improved and more efficient.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Chapter 8 &amp; 10 Updates</w:t>
      </w:r>
      <w:r w:rsidDel="00000000" w:rsidR="00000000" w:rsidRPr="00000000">
        <w:rPr>
          <w:rFonts w:ascii="Arial" w:cs="Arial" w:eastAsia="Arial" w:hAnsi="Arial"/>
          <w:rtl w:val="0"/>
        </w:rPr>
        <w:t xml:space="preserve"> &amp; Next Steps for Consideration: Condense Chapter 8 and Remove Chapter 10 based on the following principles”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HR Website</w:t>
      </w:r>
      <w:r w:rsidDel="00000000" w:rsidR="00000000" w:rsidRPr="00000000">
        <w:rPr>
          <w:rFonts w:ascii="Arial" w:cs="Arial" w:eastAsia="Arial" w:hAnsi="Arial"/>
          <w:rtl w:val="0"/>
        </w:rPr>
        <w:t xml:space="preserve"> is the point of contact for any faculty benefit information under the purview of HR. 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Any current UNI policy with related information pertaining to and applying to faculty, but not unique to faculty, should be the default source for providing relevant guidance/expectations. 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FHB includes unique processes, rights, and responsibilities pertaining only to faculty.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 3 Standards &amp; Criteria Tables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line="276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 of the importance and need to revise the University Standards &amp; Criteria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Syllabi Posting Updates 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line="276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information to come to revise references to syllabi in the Faculty Handbook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bCs w:val="1"/>
      <w:color w:val="ffffff"/>
      <w:sz w:val="24"/>
      <w:szCs w:val="24"/>
      <w:shd w:fill="365f91" w:val="clear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color w:val="365f9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ind w:firstLine="720"/>
    </w:pPr>
    <w:rPr>
      <w:b w:val="1"/>
      <w:bCs w:val="1"/>
      <w:i w:val="1"/>
      <w:iCs w:val="1"/>
      <w:color w:val="365f9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