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b w:val="1"/>
          <w:bCs w:val="1"/>
          <w:u w:val="single"/>
          <w:rtl w:val="0"/>
        </w:rPr>
        <w:t xml:space="preserve">Faculty Handbook Committee meeting minutes</w:t>
      </w:r>
      <w:r w:rsidDel="00000000" w:rsidR="00000000" w:rsidRPr="00000000">
        <w:rPr>
          <w:rtl w:val="0"/>
        </w:rPr>
      </w:r>
    </w:p>
    <w:p w:rsidR="00000000" w:rsidDel="00000000" w:rsidP="00000000" w:rsidRDefault="00000000" w:rsidRPr="00000000" w14:paraId="00000002">
      <w:pPr>
        <w:spacing w:line="276" w:lineRule="auto"/>
        <w:jc w:val="center"/>
        <w:rPr/>
      </w:pPr>
      <w:r w:rsidDel="00000000" w:rsidR="00000000" w:rsidRPr="00000000">
        <w:rPr>
          <w:rtl w:val="0"/>
        </w:rPr>
        <w:t xml:space="preserve">Maucker Union Presidential Conference Room</w:t>
      </w:r>
    </w:p>
    <w:p w:rsidR="00000000" w:rsidDel="00000000" w:rsidP="00000000" w:rsidRDefault="00000000" w:rsidRPr="00000000" w14:paraId="00000003">
      <w:pPr>
        <w:spacing w:line="276" w:lineRule="auto"/>
        <w:jc w:val="center"/>
        <w:rPr/>
      </w:pPr>
      <w:r w:rsidDel="00000000" w:rsidR="00000000" w:rsidRPr="00000000">
        <w:rPr>
          <w:rtl w:val="0"/>
        </w:rPr>
      </w:r>
    </w:p>
    <w:p w:rsidR="00000000" w:rsidDel="00000000" w:rsidP="00000000" w:rsidRDefault="00000000" w:rsidRPr="00000000" w14:paraId="00000004">
      <w:pPr>
        <w:pStyle w:val="Heading1"/>
        <w:spacing w:line="276" w:lineRule="auto"/>
        <w:rPr>
          <w:sz w:val="22"/>
          <w:szCs w:val="22"/>
        </w:rPr>
      </w:pPr>
      <w:bookmarkStart w:colFirst="0" w:colLast="0" w:name="_swzkcnplrbjk" w:id="0"/>
      <w:bookmarkEnd w:id="0"/>
      <w:r w:rsidDel="00000000" w:rsidR="00000000" w:rsidRPr="00000000">
        <w:rPr>
          <w:sz w:val="22"/>
          <w:szCs w:val="22"/>
          <w:rtl w:val="0"/>
        </w:rPr>
        <w:t xml:space="preserve">Committee Members:</w:t>
      </w:r>
    </w:p>
    <w:p w:rsidR="00000000" w:rsidDel="00000000" w:rsidP="00000000" w:rsidRDefault="00000000" w:rsidRPr="00000000" w14:paraId="00000005">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6">
            <w:pPr>
              <w:spacing w:line="276" w:lineRule="auto"/>
              <w:ind w:left="720" w:hanging="360"/>
              <w:rPr>
                <w:b w:val="1"/>
                <w:bCs w:val="1"/>
                <w:color w:val="741b47"/>
              </w:rPr>
            </w:pPr>
            <w:r w:rsidDel="00000000" w:rsidR="00000000" w:rsidRPr="00000000">
              <w:rPr>
                <w:b w:val="1"/>
                <w:bCs w:val="1"/>
                <w:color w:val="741b47"/>
                <w:rtl w:val="0"/>
              </w:rPr>
              <w:t xml:space="preserve">Faculty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numPr>
                <w:ilvl w:val="0"/>
                <w:numId w:val="4"/>
              </w:numPr>
              <w:spacing w:line="276" w:lineRule="auto"/>
              <w:ind w:left="720" w:hanging="360"/>
              <w:rPr/>
            </w:pPr>
            <w:r w:rsidDel="00000000" w:rsidR="00000000" w:rsidRPr="00000000">
              <w:rPr>
                <w:rtl w:val="0"/>
              </w:rPr>
              <w:t xml:space="preserve">Melissa Dobosh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numPr>
                <w:ilvl w:val="0"/>
                <w:numId w:val="4"/>
              </w:numPr>
              <w:spacing w:line="276" w:lineRule="auto"/>
              <w:ind w:left="720" w:hanging="360"/>
              <w:rPr/>
            </w:pPr>
            <w:r w:rsidDel="00000000" w:rsidR="00000000" w:rsidRPr="00000000">
              <w:rPr>
                <w:rtl w:val="0"/>
              </w:rPr>
              <w:t xml:space="preserve">Fernando Calderón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numPr>
                <w:ilvl w:val="0"/>
                <w:numId w:val="4"/>
              </w:numPr>
              <w:spacing w:line="276" w:lineRule="auto"/>
              <w:ind w:left="720" w:hanging="360"/>
              <w:rPr/>
            </w:pPr>
            <w:r w:rsidDel="00000000" w:rsidR="00000000" w:rsidRPr="00000000">
              <w:rPr>
                <w:rtl w:val="0"/>
              </w:rPr>
              <w:t xml:space="preserve">Matt Andreini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numPr>
                <w:ilvl w:val="0"/>
                <w:numId w:val="4"/>
              </w:numPr>
              <w:spacing w:line="276" w:lineRule="auto"/>
              <w:ind w:left="720" w:hanging="360"/>
              <w:rPr/>
            </w:pPr>
            <w:r w:rsidDel="00000000" w:rsidR="00000000" w:rsidRPr="00000000">
              <w:rPr>
                <w:rtl w:val="0"/>
              </w:rPr>
              <w:t xml:space="preserve">Kenneth Elgersma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numPr>
                <w:ilvl w:val="0"/>
                <w:numId w:val="4"/>
              </w:numPr>
              <w:spacing w:line="276" w:lineRule="auto"/>
              <w:ind w:left="720" w:hanging="360"/>
              <w:rPr/>
            </w:pPr>
            <w:r w:rsidDel="00000000" w:rsidR="00000000" w:rsidRPr="00000000">
              <w:rPr>
                <w:rtl w:val="0"/>
              </w:rPr>
              <w:t xml:space="preserve">Tim Dooley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numPr>
                <w:ilvl w:val="0"/>
                <w:numId w:val="4"/>
              </w:numPr>
              <w:spacing w:line="276" w:lineRule="auto"/>
              <w:ind w:left="720" w:hanging="360"/>
              <w:rPr/>
            </w:pPr>
            <w:r w:rsidDel="00000000" w:rsidR="00000000" w:rsidRPr="00000000">
              <w:rPr>
                <w:rtl w:val="0"/>
              </w:rPr>
              <w:t xml:space="preserve">Christopher Martin</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ind w:left="720" w:hanging="360"/>
              <w:rPr>
                <w:b w:val="1"/>
                <w:bCs w:val="1"/>
                <w:color w:val="741b47"/>
              </w:rPr>
            </w:pPr>
            <w:r w:rsidDel="00000000" w:rsidR="00000000" w:rsidRPr="00000000">
              <w:rPr>
                <w:b w:val="1"/>
                <w:bCs w:val="1"/>
                <w:color w:val="741b47"/>
                <w:rtl w:val="0"/>
              </w:rPr>
              <w:t xml:space="preserve">Administration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numPr>
                <w:ilvl w:val="0"/>
                <w:numId w:val="1"/>
              </w:numPr>
              <w:spacing w:line="276" w:lineRule="auto"/>
              <w:ind w:left="720" w:hanging="360"/>
              <w:rPr/>
            </w:pPr>
            <w:r w:rsidDel="00000000" w:rsidR="00000000" w:rsidRPr="00000000">
              <w:rPr>
                <w:rtl w:val="0"/>
              </w:rPr>
              <w:t xml:space="preserve">Bill Henninger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numPr>
                <w:ilvl w:val="0"/>
                <w:numId w:val="1"/>
              </w:numPr>
              <w:spacing w:line="276" w:lineRule="auto"/>
              <w:ind w:left="720" w:hanging="360"/>
              <w:rPr/>
            </w:pPr>
            <w:r w:rsidDel="00000000" w:rsidR="00000000" w:rsidRPr="00000000">
              <w:rPr>
                <w:rtl w:val="0"/>
              </w:rPr>
              <w:t xml:space="preserve">Jim O’Loughlin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numPr>
                <w:ilvl w:val="0"/>
                <w:numId w:val="1"/>
              </w:numPr>
              <w:spacing w:line="276" w:lineRule="auto"/>
              <w:ind w:left="720" w:hanging="360"/>
              <w:rPr/>
            </w:pPr>
            <w:r w:rsidDel="00000000" w:rsidR="00000000" w:rsidRPr="00000000">
              <w:rPr>
                <w:rtl w:val="0"/>
              </w:rPr>
              <w:t xml:space="preserve">Atul Mitra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numPr>
                <w:ilvl w:val="0"/>
                <w:numId w:val="1"/>
              </w:numPr>
              <w:spacing w:line="276" w:lineRule="auto"/>
              <w:ind w:left="720" w:hanging="360"/>
              <w:rPr/>
            </w:pPr>
            <w:r w:rsidDel="00000000" w:rsidR="00000000" w:rsidRPr="00000000">
              <w:rPr>
                <w:rtl w:val="0"/>
              </w:rPr>
              <w:t xml:space="preserve">Soh Meachum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numPr>
                <w:ilvl w:val="0"/>
                <w:numId w:val="1"/>
              </w:numPr>
              <w:spacing w:line="276" w:lineRule="auto"/>
              <w:ind w:left="720" w:hanging="360"/>
              <w:rPr/>
            </w:pPr>
            <w:r w:rsidDel="00000000" w:rsidR="00000000" w:rsidRPr="00000000">
              <w:rPr>
                <w:rtl w:val="0"/>
              </w:rPr>
              <w:t xml:space="preserve">Amy Nielsen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numPr>
                <w:ilvl w:val="0"/>
                <w:numId w:val="1"/>
              </w:numPr>
              <w:spacing w:line="276" w:lineRule="auto"/>
              <w:ind w:left="720" w:hanging="360"/>
              <w:rPr/>
            </w:pPr>
            <w:r w:rsidDel="00000000" w:rsidR="00000000" w:rsidRPr="00000000">
              <w:rPr>
                <w:rtl w:val="0"/>
              </w:rPr>
              <w:t xml:space="preserve">Theresa Westbrock</w:t>
            </w:r>
          </w:p>
        </w:tc>
      </w:tr>
    </w:tbl>
    <w:p w:rsidR="00000000" w:rsidDel="00000000" w:rsidP="00000000" w:rsidRDefault="00000000" w:rsidRPr="00000000" w14:paraId="00000018">
      <w:pPr>
        <w:spacing w:line="276" w:lineRule="auto"/>
        <w:ind w:firstLine="720"/>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1"/>
        <w:rPr>
          <w:sz w:val="22"/>
          <w:szCs w:val="22"/>
        </w:rPr>
      </w:pPr>
      <w:bookmarkStart w:colFirst="0" w:colLast="0" w:name="_l3x4vy3irt6w" w:id="1"/>
      <w:bookmarkEnd w:id="1"/>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bCs w:val="1"/>
          <w:u w:val="single"/>
          <w:rtl w:val="0"/>
        </w:rPr>
        <w:t xml:space="preserve">Approval of Minutes</w:t>
      </w:r>
      <w:r w:rsidDel="00000000" w:rsidR="00000000" w:rsidRPr="00000000">
        <w:rPr>
          <w:rtl w:val="0"/>
        </w:rPr>
      </w:r>
    </w:p>
    <w:p w:rsidR="00000000" w:rsidDel="00000000" w:rsidP="00000000" w:rsidRDefault="00000000" w:rsidRPr="00000000" w14:paraId="0000001C">
      <w:pPr>
        <w:pStyle w:val="Heading1"/>
        <w:numPr>
          <w:ilvl w:val="0"/>
          <w:numId w:val="9"/>
        </w:numPr>
        <w:spacing w:line="276" w:lineRule="auto"/>
        <w:ind w:left="720" w:hanging="360"/>
        <w:jc w:val="both"/>
        <w:rPr>
          <w:b w:val="0"/>
          <w:bCs w:val="0"/>
          <w:color w:val="000000"/>
          <w:sz w:val="22"/>
          <w:szCs w:val="22"/>
          <w:shd w:fill="auto" w:val="clear"/>
        </w:rPr>
      </w:pPr>
      <w:bookmarkStart w:colFirst="0" w:colLast="0" w:name="_1x0pz43eyffj" w:id="2"/>
      <w:bookmarkEnd w:id="2"/>
      <w:r w:rsidDel="00000000" w:rsidR="00000000" w:rsidRPr="00000000">
        <w:rPr>
          <w:b w:val="0"/>
          <w:bCs w:val="0"/>
          <w:color w:val="000000"/>
          <w:sz w:val="22"/>
          <w:szCs w:val="22"/>
          <w:shd w:fill="auto" w:val="clear"/>
          <w:rtl w:val="0"/>
        </w:rPr>
        <w:t xml:space="preserve">Approval of the </w:t>
      </w:r>
      <w:hyperlink r:id="rId6">
        <w:r w:rsidDel="00000000" w:rsidR="00000000" w:rsidRPr="00000000">
          <w:rPr>
            <w:b w:val="0"/>
            <w:bCs w:val="0"/>
            <w:color w:val="000000"/>
            <w:sz w:val="22"/>
            <w:szCs w:val="22"/>
            <w:u w:val="single"/>
            <w:shd w:fill="auto" w:val="clear"/>
            <w:rtl w:val="0"/>
          </w:rPr>
          <w:t xml:space="preserve">minutes</w:t>
        </w:r>
      </w:hyperlink>
      <w:r w:rsidDel="00000000" w:rsidR="00000000" w:rsidRPr="00000000">
        <w:rPr>
          <w:b w:val="0"/>
          <w:bCs w:val="0"/>
          <w:color w:val="000000"/>
          <w:sz w:val="22"/>
          <w:szCs w:val="22"/>
          <w:shd w:fill="auto" w:val="clear"/>
          <w:rtl w:val="0"/>
        </w:rPr>
        <w:t xml:space="preserve"> from 1.30.25</w:t>
      </w:r>
    </w:p>
    <w:p w:rsidR="00000000" w:rsidDel="00000000" w:rsidP="00000000" w:rsidRDefault="00000000" w:rsidRPr="00000000" w14:paraId="0000001D">
      <w:pPr>
        <w:spacing w:line="276" w:lineRule="auto"/>
        <w:rPr>
          <w:b w:val="1"/>
          <w:bCs w:val="1"/>
          <w:u w:val="single"/>
        </w:rPr>
      </w:pPr>
      <w:r w:rsidDel="00000000" w:rsidR="00000000" w:rsidRPr="00000000">
        <w:rPr>
          <w:rtl w:val="0"/>
        </w:rPr>
      </w:r>
    </w:p>
    <w:p w:rsidR="00000000" w:rsidDel="00000000" w:rsidP="00000000" w:rsidRDefault="00000000" w:rsidRPr="00000000" w14:paraId="0000001E">
      <w:pPr>
        <w:spacing w:line="276" w:lineRule="auto"/>
        <w:rPr>
          <w:b w:val="1"/>
          <w:bCs w:val="1"/>
          <w:u w:val="single"/>
        </w:rPr>
      </w:pPr>
      <w:r w:rsidDel="00000000" w:rsidR="00000000" w:rsidRPr="00000000">
        <w:rPr>
          <w:b w:val="1"/>
          <w:bCs w:val="1"/>
          <w:u w:val="single"/>
          <w:rtl w:val="0"/>
        </w:rPr>
        <w:t xml:space="preserve">Guest Presentation </w:t>
      </w:r>
    </w:p>
    <w:p w:rsidR="00000000" w:rsidDel="00000000" w:rsidP="00000000" w:rsidRDefault="00000000" w:rsidRPr="00000000" w14:paraId="0000001F">
      <w:pPr>
        <w:numPr>
          <w:ilvl w:val="0"/>
          <w:numId w:val="2"/>
        </w:numPr>
        <w:spacing w:line="276" w:lineRule="auto"/>
        <w:ind w:left="720" w:hanging="360"/>
        <w:rPr/>
      </w:pPr>
      <w:r w:rsidDel="00000000" w:rsidR="00000000" w:rsidRPr="00000000">
        <w:rPr>
          <w:rtl w:val="0"/>
        </w:rPr>
        <w:t xml:space="preserve">Dean Wilson, Atul Mitra (Management), and Joe Ugrin (Accounting)</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color w:val="303030"/>
          <w:sz w:val="21"/>
          <w:szCs w:val="21"/>
          <w:highlight w:val="white"/>
        </w:rPr>
      </w:pPr>
      <w:r w:rsidDel="00000000" w:rsidR="00000000" w:rsidRPr="00000000">
        <w:rPr>
          <w:rtl w:val="0"/>
        </w:rPr>
        <w:t xml:space="preserve">Summary: </w:t>
      </w:r>
      <w:r w:rsidDel="00000000" w:rsidR="00000000" w:rsidRPr="00000000">
        <w:rPr>
          <w:color w:val="303030"/>
          <w:sz w:val="21"/>
          <w:szCs w:val="21"/>
          <w:highlight w:val="white"/>
          <w:rtl w:val="0"/>
        </w:rPr>
        <w:t xml:space="preserve">This presentation analyzes current perceived flaws in the institution's merit-based raise system. The report highlights "red flags," noting that the current model disadvantages high-ranking faculty and creates pay inconsistencies that clash with established performance-based best practices. By examining data across different departments and colleges, the presenters argue that the existing distribution of funds undermines perceptions of justice and market competitiveness. To address these issues, the presenters propose structural changes to the Faculty Handbook related to merit. </w:t>
      </w:r>
    </w:p>
    <w:p w:rsidR="00000000" w:rsidDel="00000000" w:rsidP="00000000" w:rsidRDefault="00000000" w:rsidRPr="00000000" w14:paraId="00000022">
      <w:pPr>
        <w:spacing w:line="276" w:lineRule="auto"/>
        <w:rPr>
          <w:color w:val="303030"/>
          <w:sz w:val="21"/>
          <w:szCs w:val="21"/>
          <w:highlight w:val="white"/>
        </w:rPr>
      </w:pPr>
      <w:r w:rsidDel="00000000" w:rsidR="00000000" w:rsidRPr="00000000">
        <w:rPr>
          <w:rtl w:val="0"/>
        </w:rPr>
      </w:r>
    </w:p>
    <w:p w:rsidR="00000000" w:rsidDel="00000000" w:rsidP="00000000" w:rsidRDefault="00000000" w:rsidRPr="00000000" w14:paraId="00000023">
      <w:pPr>
        <w:spacing w:line="276" w:lineRule="auto"/>
        <w:rPr>
          <w:b w:val="1"/>
          <w:bCs w:val="1"/>
          <w:i w:val="0"/>
          <w:iCs w:val="0"/>
          <w:color w:val="000000"/>
        </w:rPr>
      </w:pPr>
      <w:r w:rsidDel="00000000" w:rsidR="00000000" w:rsidRPr="00000000">
        <w:rPr>
          <w:b w:val="1"/>
          <w:bCs w:val="1"/>
          <w:i w:val="0"/>
          <w:iCs w:val="0"/>
          <w:color w:val="000000"/>
          <w:rtl w:val="0"/>
        </w:rPr>
        <w:t xml:space="preserve">Current System Inefficiencies and "Red Flags"</w:t>
      </w:r>
    </w:p>
    <w:p w:rsidR="00000000" w:rsidDel="00000000" w:rsidP="00000000" w:rsidRDefault="00000000" w:rsidRPr="00000000" w14:paraId="00000024">
      <w:pPr>
        <w:numPr>
          <w:ilvl w:val="0"/>
          <w:numId w:val="8"/>
        </w:numPr>
        <w:spacing w:after="0" w:afterAutospacing="0" w:before="240" w:line="276" w:lineRule="auto"/>
        <w:ind w:left="720" w:hanging="360"/>
        <w:rPr>
          <w:rFonts w:ascii="Arial" w:cs="Arial" w:eastAsia="Arial" w:hAnsi="Arial"/>
        </w:rPr>
      </w:pPr>
      <w:r w:rsidDel="00000000" w:rsidR="00000000" w:rsidRPr="00000000">
        <w:rPr>
          <w:b w:val="1"/>
          <w:bCs w:val="1"/>
          <w:rtl w:val="0"/>
        </w:rPr>
        <w:t xml:space="preserve">Misalignment of Merit and Pay:</w:t>
      </w:r>
      <w:r w:rsidDel="00000000" w:rsidR="00000000" w:rsidRPr="00000000">
        <w:rPr>
          <w:rtl w:val="0"/>
        </w:rPr>
        <w:t xml:space="preserve"> There is a documented disconnect where faculty with high merit scores sometimes receive lower percentage raises than those with lower scores. Such outcomes can weaken the system's credibility and reduce motivation among top performers.</w:t>
      </w:r>
    </w:p>
    <w:p w:rsidR="00000000" w:rsidDel="00000000" w:rsidP="00000000" w:rsidRDefault="00000000" w:rsidRPr="00000000" w14:paraId="00000025">
      <w:pPr>
        <w:numPr>
          <w:ilvl w:val="0"/>
          <w:numId w:val="8"/>
        </w:numPr>
        <w:spacing w:after="0" w:afterAutospacing="0" w:before="0" w:beforeAutospacing="0" w:line="276" w:lineRule="auto"/>
        <w:ind w:left="720" w:hanging="360"/>
        <w:rPr>
          <w:rFonts w:ascii="Arial" w:cs="Arial" w:eastAsia="Arial" w:hAnsi="Arial"/>
        </w:rPr>
      </w:pPr>
      <w:r w:rsidDel="00000000" w:rsidR="00000000" w:rsidRPr="00000000">
        <w:rPr>
          <w:b w:val="1"/>
          <w:bCs w:val="1"/>
          <w:rtl w:val="0"/>
        </w:rPr>
        <w:t xml:space="preserve">Disadvantage to Higher-Ranked Faculty:</w:t>
      </w:r>
      <w:r w:rsidDel="00000000" w:rsidR="00000000" w:rsidRPr="00000000">
        <w:rPr>
          <w:rtl w:val="0"/>
        </w:rPr>
        <w:t xml:space="preserve"> The current distribution model disproportionately benefits lower-ranked faculty. For example, Instructors receive an average raise of </w:t>
      </w:r>
      <w:r w:rsidDel="00000000" w:rsidR="00000000" w:rsidRPr="00000000">
        <w:rPr>
          <w:b w:val="1"/>
          <w:bCs w:val="1"/>
          <w:rtl w:val="0"/>
        </w:rPr>
        <w:t xml:space="preserve">3.87%</w:t>
      </w:r>
      <w:r w:rsidDel="00000000" w:rsidR="00000000" w:rsidRPr="00000000">
        <w:rPr>
          <w:rtl w:val="0"/>
        </w:rPr>
        <w:t xml:space="preserve">, while Professors average only </w:t>
      </w:r>
      <w:r w:rsidDel="00000000" w:rsidR="00000000" w:rsidRPr="00000000">
        <w:rPr>
          <w:b w:val="1"/>
          <w:bCs w:val="1"/>
          <w:rtl w:val="0"/>
        </w:rPr>
        <w:t xml:space="preserve">2.67%</w:t>
      </w:r>
      <w:r w:rsidDel="00000000" w:rsidR="00000000" w:rsidRPr="00000000">
        <w:rPr>
          <w:rtl w:val="0"/>
        </w:rPr>
        <w:t xml:space="preserve">.</w:t>
      </w:r>
    </w:p>
    <w:p w:rsidR="00000000" w:rsidDel="00000000" w:rsidP="00000000" w:rsidRDefault="00000000" w:rsidRPr="00000000" w14:paraId="00000026">
      <w:pPr>
        <w:numPr>
          <w:ilvl w:val="0"/>
          <w:numId w:val="8"/>
        </w:numPr>
        <w:spacing w:after="0" w:afterAutospacing="0" w:before="0" w:beforeAutospacing="0" w:line="276" w:lineRule="auto"/>
        <w:ind w:left="720" w:hanging="360"/>
        <w:rPr>
          <w:rFonts w:ascii="Arial" w:cs="Arial" w:eastAsia="Arial" w:hAnsi="Arial"/>
        </w:rPr>
      </w:pPr>
      <w:r w:rsidDel="00000000" w:rsidR="00000000" w:rsidRPr="00000000">
        <w:rPr>
          <w:b w:val="1"/>
          <w:bCs w:val="1"/>
          <w:rtl w:val="0"/>
        </w:rPr>
        <w:t xml:space="preserve">Reduced Salary Competitiveness:</w:t>
      </w:r>
      <w:r w:rsidDel="00000000" w:rsidR="00000000" w:rsidRPr="00000000">
        <w:rPr>
          <w:rtl w:val="0"/>
        </w:rPr>
        <w:t xml:space="preserve"> This model has led to salaries for Professors and Assistant Professors falling significantly below market averages (AACSB and CUPA benchmarks), while Instructor salaries remain above market.</w:t>
      </w:r>
    </w:p>
    <w:p w:rsidR="00000000" w:rsidDel="00000000" w:rsidP="00000000" w:rsidRDefault="00000000" w:rsidRPr="00000000" w14:paraId="00000027">
      <w:pPr>
        <w:numPr>
          <w:ilvl w:val="0"/>
          <w:numId w:val="8"/>
        </w:numPr>
        <w:spacing w:after="240" w:before="0" w:beforeAutospacing="0" w:line="276" w:lineRule="auto"/>
        <w:ind w:left="720" w:hanging="360"/>
        <w:rPr>
          <w:rFonts w:ascii="Arial" w:cs="Arial" w:eastAsia="Arial" w:hAnsi="Arial"/>
        </w:rPr>
      </w:pPr>
      <w:r w:rsidDel="00000000" w:rsidR="00000000" w:rsidRPr="00000000">
        <w:rPr>
          <w:b w:val="1"/>
          <w:bCs w:val="1"/>
          <w:rtl w:val="0"/>
        </w:rPr>
        <w:t xml:space="preserve">Inter-College Disparities:</w:t>
      </w:r>
      <w:r w:rsidDel="00000000" w:rsidR="00000000" w:rsidRPr="00000000">
        <w:rPr>
          <w:rtl w:val="0"/>
        </w:rPr>
        <w:t xml:space="preserve"> Average raises vary widely across different colleges, ranging from </w:t>
      </w:r>
      <w:r w:rsidDel="00000000" w:rsidR="00000000" w:rsidRPr="00000000">
        <w:rPr>
          <w:b w:val="1"/>
          <w:bCs w:val="1"/>
          <w:rtl w:val="0"/>
        </w:rPr>
        <w:t xml:space="preserve">2.35% to 3.42%</w:t>
      </w:r>
      <w:r w:rsidDel="00000000" w:rsidR="00000000" w:rsidRPr="00000000">
        <w:rPr>
          <w:rtl w:val="0"/>
        </w:rPr>
        <w:t xml:space="preserve">, creating further internal inequity.</w:t>
      </w:r>
    </w:p>
    <w:p w:rsidR="00000000" w:rsidDel="00000000" w:rsidP="00000000" w:rsidRDefault="00000000" w:rsidRPr="00000000" w14:paraId="00000028">
      <w:pPr>
        <w:pStyle w:val="Heading3"/>
        <w:keepNext w:val="0"/>
        <w:keepLines w:val="0"/>
        <w:spacing w:after="80" w:before="280" w:line="276" w:lineRule="auto"/>
        <w:ind w:firstLine="0"/>
        <w:rPr>
          <w:i w:val="0"/>
          <w:iCs w:val="0"/>
          <w:color w:val="000000"/>
        </w:rPr>
      </w:pPr>
      <w:bookmarkStart w:colFirst="0" w:colLast="0" w:name="_tdjgruxf7gpe" w:id="3"/>
      <w:bookmarkEnd w:id="3"/>
      <w:r w:rsidDel="00000000" w:rsidR="00000000" w:rsidRPr="00000000">
        <w:rPr>
          <w:i w:val="0"/>
          <w:iCs w:val="0"/>
          <w:color w:val="000000"/>
          <w:rtl w:val="0"/>
        </w:rPr>
        <w:t xml:space="preserve">Principles of Effective Merit Pay</w:t>
      </w:r>
    </w:p>
    <w:p w:rsidR="00000000" w:rsidDel="00000000" w:rsidP="00000000" w:rsidRDefault="00000000" w:rsidRPr="00000000" w14:paraId="00000029">
      <w:pPr>
        <w:numPr>
          <w:ilvl w:val="0"/>
          <w:numId w:val="5"/>
        </w:numPr>
        <w:spacing w:after="0" w:afterAutospacing="0" w:before="240" w:line="276" w:lineRule="auto"/>
        <w:ind w:left="720" w:hanging="360"/>
        <w:rPr>
          <w:rFonts w:ascii="Arial" w:cs="Arial" w:eastAsia="Arial" w:hAnsi="Arial"/>
        </w:rPr>
      </w:pPr>
      <w:r w:rsidDel="00000000" w:rsidR="00000000" w:rsidRPr="00000000">
        <w:rPr>
          <w:b w:val="1"/>
          <w:bCs w:val="1"/>
          <w:rtl w:val="0"/>
        </w:rPr>
        <w:t xml:space="preserve">Justice and Perception:</w:t>
      </w:r>
      <w:r w:rsidDel="00000000" w:rsidR="00000000" w:rsidRPr="00000000">
        <w:rPr>
          <w:rtl w:val="0"/>
        </w:rPr>
        <w:t xml:space="preserve"> Perceptions of </w:t>
      </w:r>
      <w:r w:rsidDel="00000000" w:rsidR="00000000" w:rsidRPr="00000000">
        <w:rPr>
          <w:b w:val="1"/>
          <w:bCs w:val="1"/>
          <w:rtl w:val="0"/>
        </w:rPr>
        <w:t xml:space="preserve">procedural justice</w:t>
      </w:r>
      <w:r w:rsidDel="00000000" w:rsidR="00000000" w:rsidRPr="00000000">
        <w:rPr>
          <w:rtl w:val="0"/>
        </w:rPr>
        <w:t xml:space="preserve">—ensuring decisions are consistent, unbiased, and accurate—are the strongest predictors of a pay system's success.</w:t>
      </w:r>
    </w:p>
    <w:p w:rsidR="00000000" w:rsidDel="00000000" w:rsidP="00000000" w:rsidRDefault="00000000" w:rsidRPr="00000000" w14:paraId="0000002A">
      <w:pPr>
        <w:numPr>
          <w:ilvl w:val="0"/>
          <w:numId w:val="5"/>
        </w:numPr>
        <w:spacing w:after="0" w:afterAutospacing="0" w:before="0" w:beforeAutospacing="0" w:line="276" w:lineRule="auto"/>
        <w:ind w:left="720" w:hanging="360"/>
        <w:rPr>
          <w:rFonts w:ascii="Arial" w:cs="Arial" w:eastAsia="Arial" w:hAnsi="Arial"/>
        </w:rPr>
      </w:pPr>
      <w:r w:rsidDel="00000000" w:rsidR="00000000" w:rsidRPr="00000000">
        <w:rPr>
          <w:b w:val="1"/>
          <w:bCs w:val="1"/>
          <w:rtl w:val="0"/>
        </w:rPr>
        <w:t xml:space="preserve">Percentage vs. Absolute Amount:</w:t>
      </w:r>
      <w:r w:rsidDel="00000000" w:rsidR="00000000" w:rsidRPr="00000000">
        <w:rPr>
          <w:rtl w:val="0"/>
        </w:rPr>
        <w:t xml:space="preserve"> Grounded in Weber’s Law, research shows that the "meaning" of a raise to an individual is determined by the </w:t>
      </w:r>
      <w:r w:rsidDel="00000000" w:rsidR="00000000" w:rsidRPr="00000000">
        <w:rPr>
          <w:b w:val="1"/>
          <w:bCs w:val="1"/>
          <w:rtl w:val="0"/>
        </w:rPr>
        <w:t xml:space="preserve">percentage increase</w:t>
      </w:r>
      <w:r w:rsidDel="00000000" w:rsidR="00000000" w:rsidRPr="00000000">
        <w:rPr>
          <w:rtl w:val="0"/>
        </w:rPr>
        <w:t xml:space="preserve">, not the absolute dollar amount.</w:t>
      </w:r>
    </w:p>
    <w:p w:rsidR="00000000" w:rsidDel="00000000" w:rsidP="00000000" w:rsidRDefault="00000000" w:rsidRPr="00000000" w14:paraId="0000002B">
      <w:pPr>
        <w:numPr>
          <w:ilvl w:val="0"/>
          <w:numId w:val="5"/>
        </w:numPr>
        <w:spacing w:after="240" w:before="0" w:beforeAutospacing="0" w:line="276" w:lineRule="auto"/>
        <w:ind w:left="720" w:hanging="360"/>
        <w:rPr>
          <w:rFonts w:ascii="Arial" w:cs="Arial" w:eastAsia="Arial" w:hAnsi="Arial"/>
        </w:rPr>
      </w:pPr>
      <w:r w:rsidDel="00000000" w:rsidR="00000000" w:rsidRPr="00000000">
        <w:rPr>
          <w:b w:val="1"/>
          <w:bCs w:val="1"/>
          <w:rtl w:val="0"/>
        </w:rPr>
        <w:t xml:space="preserve">Clear Separation of Adjustments:</w:t>
      </w:r>
      <w:r w:rsidDel="00000000" w:rsidR="00000000" w:rsidRPr="00000000">
        <w:rPr>
          <w:rtl w:val="0"/>
        </w:rPr>
        <w:t xml:space="preserve"> Best practices suggest that merit increases should be based solely on job performance, while cost-of-living (COLA) or promotion adjustments should be handled separately.</w:t>
      </w:r>
    </w:p>
    <w:p w:rsidR="00000000" w:rsidDel="00000000" w:rsidP="00000000" w:rsidRDefault="00000000" w:rsidRPr="00000000" w14:paraId="0000002C">
      <w:pPr>
        <w:pStyle w:val="Heading3"/>
        <w:keepNext w:val="0"/>
        <w:keepLines w:val="0"/>
        <w:spacing w:after="80" w:before="280" w:line="276" w:lineRule="auto"/>
        <w:ind w:firstLine="0"/>
        <w:rPr>
          <w:i w:val="0"/>
          <w:iCs w:val="0"/>
          <w:color w:val="000000"/>
        </w:rPr>
      </w:pPr>
      <w:bookmarkStart w:colFirst="0" w:colLast="0" w:name="_dg818envx78w" w:id="4"/>
      <w:bookmarkEnd w:id="4"/>
      <w:r w:rsidDel="00000000" w:rsidR="00000000" w:rsidRPr="00000000">
        <w:rPr>
          <w:i w:val="0"/>
          <w:iCs w:val="0"/>
          <w:color w:val="000000"/>
          <w:rtl w:val="0"/>
        </w:rPr>
        <w:t xml:space="preserve">The Current "Three Bucket" Distribution</w:t>
      </w:r>
    </w:p>
    <w:p w:rsidR="00000000" w:rsidDel="00000000" w:rsidP="00000000" w:rsidRDefault="00000000" w:rsidRPr="00000000" w14:paraId="0000002D">
      <w:pPr>
        <w:spacing w:after="240" w:before="240" w:line="276" w:lineRule="auto"/>
        <w:rPr/>
      </w:pPr>
      <w:r w:rsidDel="00000000" w:rsidR="00000000" w:rsidRPr="00000000">
        <w:rPr>
          <w:rtl w:val="0"/>
        </w:rPr>
        <w:t xml:space="preserve">The presentation notes that UNI’s 3% total faculty raise is currently distributed through three specific "buckets":</w:t>
      </w:r>
    </w:p>
    <w:p w:rsidR="00000000" w:rsidDel="00000000" w:rsidP="00000000" w:rsidRDefault="00000000" w:rsidRPr="00000000" w14:paraId="0000002E">
      <w:pPr>
        <w:numPr>
          <w:ilvl w:val="0"/>
          <w:numId w:val="7"/>
        </w:numPr>
        <w:spacing w:after="0" w:afterAutospacing="0" w:before="240" w:line="276" w:lineRule="auto"/>
        <w:ind w:left="720" w:hanging="360"/>
        <w:rPr>
          <w:rFonts w:ascii="Arial" w:cs="Arial" w:eastAsia="Arial" w:hAnsi="Arial"/>
          <w:highlight w:val="yellow"/>
        </w:rPr>
      </w:pPr>
      <w:r w:rsidDel="00000000" w:rsidR="00000000" w:rsidRPr="00000000">
        <w:rPr>
          <w:b w:val="1"/>
          <w:bCs w:val="1"/>
          <w:highlight w:val="yellow"/>
          <w:rtl w:val="0"/>
        </w:rPr>
        <w:t xml:space="preserve">40%</w:t>
      </w:r>
      <w:r w:rsidDel="00000000" w:rsidR="00000000" w:rsidRPr="00000000">
        <w:rPr>
          <w:highlight w:val="yellow"/>
          <w:rtl w:val="0"/>
        </w:rPr>
        <w:t xml:space="preserve"> as an across-the-board percentage increase.</w:t>
      </w:r>
    </w:p>
    <w:p w:rsidR="00000000" w:rsidDel="00000000" w:rsidP="00000000" w:rsidRDefault="00000000" w:rsidRPr="00000000" w14:paraId="0000002F">
      <w:pPr>
        <w:numPr>
          <w:ilvl w:val="0"/>
          <w:numId w:val="7"/>
        </w:numPr>
        <w:spacing w:after="0" w:afterAutospacing="0" w:before="0" w:beforeAutospacing="0" w:line="276" w:lineRule="auto"/>
        <w:ind w:left="720" w:hanging="360"/>
        <w:rPr>
          <w:rFonts w:ascii="Arial" w:cs="Arial" w:eastAsia="Arial" w:hAnsi="Arial"/>
          <w:highlight w:val="yellow"/>
        </w:rPr>
      </w:pPr>
      <w:r w:rsidDel="00000000" w:rsidR="00000000" w:rsidRPr="00000000">
        <w:rPr>
          <w:b w:val="1"/>
          <w:bCs w:val="1"/>
          <w:highlight w:val="yellow"/>
          <w:rtl w:val="0"/>
        </w:rPr>
        <w:t xml:space="preserve">20%</w:t>
      </w:r>
      <w:r w:rsidDel="00000000" w:rsidR="00000000" w:rsidRPr="00000000">
        <w:rPr>
          <w:highlight w:val="yellow"/>
          <w:rtl w:val="0"/>
        </w:rPr>
        <w:t xml:space="preserve"> as an incremental increase (the same flat dollar amount for everyone).</w:t>
      </w:r>
    </w:p>
    <w:p w:rsidR="00000000" w:rsidDel="00000000" w:rsidP="00000000" w:rsidRDefault="00000000" w:rsidRPr="00000000" w14:paraId="00000030">
      <w:pPr>
        <w:numPr>
          <w:ilvl w:val="1"/>
          <w:numId w:val="7"/>
        </w:numPr>
        <w:spacing w:after="0" w:afterAutospacing="0" w:before="0" w:beforeAutospacing="0" w:line="276" w:lineRule="auto"/>
        <w:ind w:left="1440" w:hanging="360"/>
        <w:rPr>
          <w:highlight w:val="yellow"/>
          <w:u w:val="none"/>
        </w:rPr>
      </w:pPr>
      <w:r w:rsidDel="00000000" w:rsidR="00000000" w:rsidRPr="00000000">
        <w:rPr>
          <w:highlight w:val="yellow"/>
          <w:rtl w:val="0"/>
        </w:rPr>
        <w:t xml:space="preserve">The highlighted buckets fall within the master contract and are negotiated by the Board of Regents and United Faculty. The UNI community does not negotiate these two buckets. </w:t>
      </w:r>
    </w:p>
    <w:p w:rsidR="00000000" w:rsidDel="00000000" w:rsidP="00000000" w:rsidRDefault="00000000" w:rsidRPr="00000000" w14:paraId="00000031">
      <w:pPr>
        <w:numPr>
          <w:ilvl w:val="0"/>
          <w:numId w:val="7"/>
        </w:numPr>
        <w:spacing w:after="240" w:before="0" w:beforeAutospacing="0" w:line="276" w:lineRule="auto"/>
        <w:ind w:left="720" w:hanging="360"/>
        <w:rPr>
          <w:rFonts w:ascii="Arial" w:cs="Arial" w:eastAsia="Arial" w:hAnsi="Arial"/>
        </w:rPr>
      </w:pPr>
      <w:r w:rsidDel="00000000" w:rsidR="00000000" w:rsidRPr="00000000">
        <w:rPr>
          <w:b w:val="1"/>
          <w:bCs w:val="1"/>
          <w:rtl w:val="0"/>
        </w:rPr>
        <w:t xml:space="preserve">40%</w:t>
      </w:r>
      <w:r w:rsidDel="00000000" w:rsidR="00000000" w:rsidRPr="00000000">
        <w:rPr>
          <w:rtl w:val="0"/>
        </w:rPr>
        <w:t xml:space="preserve"> as an individual adjustment for promotions and merit. </w:t>
      </w:r>
    </w:p>
    <w:p w:rsidR="00000000" w:rsidDel="00000000" w:rsidP="00000000" w:rsidRDefault="00000000" w:rsidRPr="00000000" w14:paraId="00000032">
      <w:pPr>
        <w:pStyle w:val="Heading3"/>
        <w:keepNext w:val="0"/>
        <w:keepLines w:val="0"/>
        <w:spacing w:after="80" w:before="280" w:line="276" w:lineRule="auto"/>
        <w:ind w:firstLine="0"/>
        <w:rPr>
          <w:i w:val="0"/>
          <w:iCs w:val="0"/>
          <w:color w:val="000000"/>
        </w:rPr>
      </w:pPr>
      <w:bookmarkStart w:colFirst="0" w:colLast="0" w:name="_qecpa7idcivz" w:id="5"/>
      <w:bookmarkEnd w:id="5"/>
      <w:r w:rsidDel="00000000" w:rsidR="00000000" w:rsidRPr="00000000">
        <w:rPr>
          <w:i w:val="0"/>
          <w:iCs w:val="0"/>
          <w:color w:val="000000"/>
          <w:rtl w:val="0"/>
        </w:rPr>
        <w:t xml:space="preserve">Proposed Solutions and Projected Impacts</w:t>
      </w:r>
    </w:p>
    <w:p w:rsidR="00000000" w:rsidDel="00000000" w:rsidP="00000000" w:rsidRDefault="00000000" w:rsidRPr="00000000" w14:paraId="00000033">
      <w:pPr>
        <w:numPr>
          <w:ilvl w:val="0"/>
          <w:numId w:val="6"/>
        </w:numPr>
        <w:spacing w:after="0" w:afterAutospacing="0" w:before="240" w:line="276" w:lineRule="auto"/>
        <w:ind w:left="720" w:hanging="360"/>
        <w:rPr>
          <w:rFonts w:ascii="Arial" w:cs="Arial" w:eastAsia="Arial" w:hAnsi="Arial"/>
        </w:rPr>
      </w:pPr>
      <w:r w:rsidDel="00000000" w:rsidR="00000000" w:rsidRPr="00000000">
        <w:rPr>
          <w:b w:val="1"/>
          <w:bCs w:val="1"/>
          <w:rtl w:val="0"/>
        </w:rPr>
        <w:t xml:space="preserve">Faculty Handbook Changes:</w:t>
      </w:r>
      <w:r w:rsidDel="00000000" w:rsidR="00000000" w:rsidRPr="00000000">
        <w:rPr>
          <w:rtl w:val="0"/>
        </w:rPr>
        <w:t xml:space="preserve"> One proposal is to distribute the merit pool to colleges based on their percentage contribution to the total salary budget and to award merit relative to an individual's </w:t>
      </w:r>
      <w:r w:rsidDel="00000000" w:rsidR="00000000" w:rsidRPr="00000000">
        <w:rPr>
          <w:b w:val="1"/>
          <w:bCs w:val="1"/>
          <w:rtl w:val="0"/>
        </w:rPr>
        <w:t xml:space="preserve">base pay</w:t>
      </w:r>
      <w:r w:rsidDel="00000000" w:rsidR="00000000" w:rsidRPr="00000000">
        <w:rPr>
          <w:rtl w:val="0"/>
        </w:rPr>
        <w:t xml:space="preserve">. This change alone is projected to bring Professors' average raises up to 2.89%.</w:t>
      </w:r>
    </w:p>
    <w:p w:rsidR="00000000" w:rsidDel="00000000" w:rsidP="00000000" w:rsidRDefault="00000000" w:rsidRPr="00000000" w14:paraId="00000034">
      <w:pPr>
        <w:numPr>
          <w:ilvl w:val="0"/>
          <w:numId w:val="6"/>
        </w:numPr>
        <w:spacing w:after="0" w:afterAutospacing="0" w:before="0" w:beforeAutospacing="0" w:line="276" w:lineRule="auto"/>
        <w:ind w:left="720" w:hanging="360"/>
        <w:rPr>
          <w:rFonts w:ascii="Arial" w:cs="Arial" w:eastAsia="Arial" w:hAnsi="Arial"/>
        </w:rPr>
      </w:pPr>
      <w:r w:rsidDel="00000000" w:rsidR="00000000" w:rsidRPr="00000000">
        <w:rPr>
          <w:b w:val="1"/>
          <w:bCs w:val="1"/>
          <w:rtl w:val="0"/>
        </w:rPr>
        <w:t xml:space="preserve">Targeted Merit:</w:t>
      </w:r>
      <w:r w:rsidDel="00000000" w:rsidR="00000000" w:rsidRPr="00000000">
        <w:rPr>
          <w:rtl w:val="0"/>
        </w:rPr>
        <w:t xml:space="preserve"> An additional suggestion is to distribute merit only to the </w:t>
      </w:r>
      <w:r w:rsidDel="00000000" w:rsidR="00000000" w:rsidRPr="00000000">
        <w:rPr>
          <w:b w:val="1"/>
          <w:bCs w:val="1"/>
          <w:rtl w:val="0"/>
        </w:rPr>
        <w:t xml:space="preserve">top 50% of performers</w:t>
      </w:r>
      <w:r w:rsidDel="00000000" w:rsidR="00000000" w:rsidRPr="00000000">
        <w:rPr>
          <w:rtl w:val="0"/>
        </w:rPr>
        <w:t xml:space="preserve"> to better reward the highest-achieving faculty.</w:t>
      </w:r>
    </w:p>
    <w:p w:rsidR="00000000" w:rsidDel="00000000" w:rsidP="00000000" w:rsidRDefault="00000000" w:rsidRPr="00000000" w14:paraId="00000035">
      <w:pPr>
        <w:numPr>
          <w:ilvl w:val="0"/>
          <w:numId w:val="6"/>
        </w:numPr>
        <w:spacing w:after="240" w:before="0" w:beforeAutospacing="0" w:line="276" w:lineRule="auto"/>
        <w:ind w:left="720" w:hanging="360"/>
        <w:rPr>
          <w:rFonts w:ascii="Arial" w:cs="Arial" w:eastAsia="Arial" w:hAnsi="Arial"/>
        </w:rPr>
      </w:pPr>
      <w:r w:rsidDel="00000000" w:rsidR="00000000" w:rsidRPr="00000000">
        <w:rPr>
          <w:b w:val="1"/>
          <w:bCs w:val="1"/>
          <w:rtl w:val="0"/>
        </w:rPr>
        <w:t xml:space="preserve">Increased Transparency:</w:t>
      </w:r>
      <w:r w:rsidDel="00000000" w:rsidR="00000000" w:rsidRPr="00000000">
        <w:rPr>
          <w:rtl w:val="0"/>
        </w:rPr>
        <w:t xml:space="preserve"> The presentation suggests calculating and communicating the "REAL" expected average raise (after removing promotion costs) in annual faculty letters to provide better clarity.</w:t>
      </w:r>
      <w:r w:rsidDel="00000000" w:rsidR="00000000" w:rsidRPr="00000000">
        <w:rPr>
          <w:rtl w:val="0"/>
        </w:rPr>
      </w:r>
    </w:p>
    <w:p w:rsidR="00000000" w:rsidDel="00000000" w:rsidP="00000000" w:rsidRDefault="00000000" w:rsidRPr="00000000" w14:paraId="00000036">
      <w:pPr>
        <w:spacing w:line="276" w:lineRule="auto"/>
        <w:rPr>
          <w:b w:val="1"/>
          <w:bCs w:val="1"/>
          <w:u w:val="single"/>
        </w:rPr>
      </w:pPr>
      <w:r w:rsidDel="00000000" w:rsidR="00000000" w:rsidRPr="00000000">
        <w:rPr>
          <w:b w:val="1"/>
          <w:bCs w:val="1"/>
          <w:u w:val="single"/>
          <w:rtl w:val="0"/>
        </w:rPr>
        <w:t xml:space="preserve">Old Business</w:t>
      </w:r>
    </w:p>
    <w:p w:rsidR="00000000" w:rsidDel="00000000" w:rsidP="00000000" w:rsidRDefault="00000000" w:rsidRPr="00000000" w14:paraId="00000037">
      <w:pPr>
        <w:numPr>
          <w:ilvl w:val="0"/>
          <w:numId w:val="3"/>
        </w:numPr>
        <w:spacing w:line="276" w:lineRule="auto"/>
        <w:ind w:left="720" w:hanging="360"/>
        <w:rPr/>
      </w:pPr>
      <w:r w:rsidDel="00000000" w:rsidR="00000000" w:rsidRPr="00000000">
        <w:rPr>
          <w:rtl w:val="0"/>
        </w:rPr>
        <w:t xml:space="preserve">SharePoint Updates (Alex)</w:t>
      </w:r>
    </w:p>
    <w:p w:rsidR="00000000" w:rsidDel="00000000" w:rsidP="00000000" w:rsidRDefault="00000000" w:rsidRPr="00000000" w14:paraId="00000038">
      <w:pPr>
        <w:numPr>
          <w:ilvl w:val="1"/>
          <w:numId w:val="3"/>
        </w:numPr>
        <w:spacing w:line="276" w:lineRule="auto"/>
        <w:ind w:left="1080" w:hanging="360"/>
        <w:rPr/>
      </w:pPr>
      <w:r w:rsidDel="00000000" w:rsidR="00000000" w:rsidRPr="00000000">
        <w:rPr>
          <w:rtl w:val="0"/>
        </w:rPr>
        <w:t xml:space="preserve">Feedback</w:t>
      </w:r>
      <w:r w:rsidDel="00000000" w:rsidR="00000000" w:rsidRPr="00000000">
        <w:rPr>
          <w:rtl w:val="0"/>
        </w:rPr>
      </w:r>
    </w:p>
    <w:p w:rsidR="00000000" w:rsidDel="00000000" w:rsidP="00000000" w:rsidRDefault="00000000" w:rsidRPr="00000000" w14:paraId="00000039">
      <w:pPr>
        <w:numPr>
          <w:ilvl w:val="1"/>
          <w:numId w:val="3"/>
        </w:numPr>
        <w:spacing w:line="276" w:lineRule="auto"/>
        <w:ind w:left="1080" w:hanging="360"/>
        <w:rPr/>
      </w:pPr>
      <w:r w:rsidDel="00000000" w:rsidR="00000000" w:rsidRPr="00000000">
        <w:rPr>
          <w:rtl w:val="0"/>
        </w:rPr>
        <w:t xml:space="preserve">Draft Folders</w:t>
      </w:r>
      <w:r w:rsidDel="00000000" w:rsidR="00000000" w:rsidRPr="00000000">
        <w:rPr>
          <w:rtl w:val="0"/>
        </w:rPr>
        <w:t xml:space="preserve"> / </w:t>
      </w:r>
      <w:r w:rsidDel="00000000" w:rsidR="00000000" w:rsidRPr="00000000">
        <w:rPr>
          <w:rtl w:val="0"/>
        </w:rPr>
        <w:t xml:space="preserve">Demo</w:t>
      </w:r>
      <w:r w:rsidDel="00000000" w:rsidR="00000000" w:rsidRPr="00000000">
        <w:rPr>
          <w:rtl w:val="0"/>
        </w:rPr>
      </w:r>
    </w:p>
    <w:p w:rsidR="00000000" w:rsidDel="00000000" w:rsidP="00000000" w:rsidRDefault="00000000" w:rsidRPr="00000000" w14:paraId="0000003A">
      <w:pPr>
        <w:spacing w:line="276" w:lineRule="auto"/>
        <w:ind w:left="1080" w:firstLine="0"/>
        <w:rPr>
          <w:b w:val="1"/>
          <w:bCs w:val="1"/>
          <w:u w:val="single"/>
        </w:rPr>
      </w:pPr>
      <w:r w:rsidDel="00000000" w:rsidR="00000000" w:rsidRPr="00000000">
        <w:rPr>
          <w:rtl w:val="0"/>
        </w:rPr>
      </w:r>
    </w:p>
    <w:p w:rsidR="00000000" w:rsidDel="00000000" w:rsidP="00000000" w:rsidRDefault="00000000" w:rsidRPr="00000000" w14:paraId="0000003B">
      <w:pPr>
        <w:spacing w:line="276" w:lineRule="auto"/>
        <w:rPr/>
      </w:pPr>
      <w:r w:rsidDel="00000000" w:rsidR="00000000" w:rsidRPr="00000000">
        <w:rPr>
          <w:rtl w:val="0"/>
        </w:rPr>
        <w:t xml:space="preserve">Amy reminded committee to review </w:t>
      </w:r>
      <w:r w:rsidDel="00000000" w:rsidR="00000000" w:rsidRPr="00000000">
        <w:rPr>
          <w:rtl w:val="0"/>
        </w:rPr>
        <w:t xml:space="preserve">Running List of Possible Revisions and submit</w:t>
      </w:r>
      <w:r w:rsidDel="00000000" w:rsidR="00000000" w:rsidRPr="00000000">
        <w:rPr>
          <w:rtl w:val="0"/>
        </w:rPr>
        <w:t xml:space="preserve"> </w:t>
      </w:r>
      <w:r w:rsidDel="00000000" w:rsidR="00000000" w:rsidRPr="00000000">
        <w:rPr>
          <w:rtl w:val="0"/>
        </w:rPr>
        <w:t xml:space="preserve">Survey</w:t>
      </w:r>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62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color w:val="ffffff"/>
      <w:sz w:val="24"/>
      <w:szCs w:val="24"/>
      <w:shd w:fill="365f91" w:val="clear"/>
    </w:rPr>
  </w:style>
  <w:style w:type="paragraph" w:styleId="Heading2">
    <w:name w:val="heading 2"/>
    <w:basedOn w:val="Normal"/>
    <w:next w:val="Normal"/>
    <w:pPr>
      <w:keepNext w:val="1"/>
      <w:keepLines w:val="1"/>
    </w:pPr>
    <w:rPr>
      <w:b w:val="1"/>
      <w:bCs w:val="1"/>
      <w:color w:val="365f91"/>
      <w:u w:val="single"/>
    </w:rPr>
  </w:style>
  <w:style w:type="paragraph" w:styleId="Heading3">
    <w:name w:val="heading 3"/>
    <w:basedOn w:val="Normal"/>
    <w:next w:val="Normal"/>
    <w:pPr>
      <w:keepNext w:val="1"/>
      <w:keepLines w:val="1"/>
      <w:ind w:firstLine="720"/>
    </w:pPr>
    <w:rPr>
      <w:b w:val="1"/>
      <w:bCs w:val="1"/>
      <w:i w:val="1"/>
      <w:iCs w:val="1"/>
      <w:color w:val="365f9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4TY-bDX3wMiJkVJ2WJ3aaHaTT13uutbOwbFdfBG7lE8/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